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7" w:rsidRDefault="00875644">
      <w:r>
        <w:rPr>
          <w:rFonts w:cs="Arial"/>
          <w:color w:val="222222"/>
          <w:sz w:val="26"/>
          <w:szCs w:val="26"/>
          <w:shd w:val="clear" w:color="auto" w:fill="FFFFFF"/>
        </w:rPr>
        <w:t>[FMC-List] IRS introduces shorter 501(c)(3) application form</w:t>
      </w:r>
      <w:bookmarkStart w:id="0" w:name="_GoBack"/>
      <w:bookmarkEnd w:id="0"/>
    </w:p>
    <w:p w:rsidR="00875644" w:rsidRDefault="00875644"/>
    <w:tbl>
      <w:tblPr>
        <w:tblW w:w="0" w:type="dxa"/>
        <w:tblCellMar>
          <w:left w:w="0" w:type="dxa"/>
          <w:right w:w="0" w:type="dxa"/>
        </w:tblCellMar>
        <w:tblLook w:val="04A0" w:firstRow="1" w:lastRow="0" w:firstColumn="1" w:lastColumn="0" w:noHBand="0" w:noVBand="1"/>
      </w:tblPr>
      <w:tblGrid>
        <w:gridCol w:w="5556"/>
        <w:gridCol w:w="2042"/>
        <w:gridCol w:w="6"/>
        <w:gridCol w:w="15"/>
      </w:tblGrid>
      <w:tr w:rsidR="00875644" w:rsidRPr="00875644" w:rsidTr="00875644">
        <w:trPr>
          <w:trHeight w:val="240"/>
        </w:trPr>
        <w:tc>
          <w:tcPr>
            <w:tcW w:w="5436" w:type="dxa"/>
            <w:noWrap/>
            <w:tcMar>
              <w:top w:w="0" w:type="dxa"/>
              <w:left w:w="0" w:type="dxa"/>
              <w:bottom w:w="0" w:type="dxa"/>
              <w:right w:w="120" w:type="dxa"/>
            </w:tcMar>
            <w:hideMark/>
          </w:tcPr>
          <w:tbl>
            <w:tblPr>
              <w:tblW w:w="5436" w:type="dxa"/>
              <w:tblCellMar>
                <w:left w:w="0" w:type="dxa"/>
                <w:right w:w="0" w:type="dxa"/>
              </w:tblCellMar>
              <w:tblLook w:val="04A0" w:firstRow="1" w:lastRow="0" w:firstColumn="1" w:lastColumn="0" w:noHBand="0" w:noVBand="1"/>
            </w:tblPr>
            <w:tblGrid>
              <w:gridCol w:w="5436"/>
            </w:tblGrid>
            <w:tr w:rsidR="00875644" w:rsidRPr="00875644">
              <w:tc>
                <w:tcPr>
                  <w:tcW w:w="0" w:type="auto"/>
                  <w:vAlign w:val="center"/>
                  <w:hideMark/>
                </w:tcPr>
                <w:p w:rsidR="00875644" w:rsidRPr="00875644" w:rsidRDefault="00875644" w:rsidP="00875644">
                  <w:pPr>
                    <w:spacing w:before="100" w:beforeAutospacing="1" w:after="100" w:afterAutospacing="1"/>
                    <w:outlineLvl w:val="2"/>
                    <w:rPr>
                      <w:rFonts w:eastAsia="Times New Roman" w:cs="Arial"/>
                      <w:b/>
                      <w:bCs/>
                      <w:sz w:val="27"/>
                      <w:szCs w:val="27"/>
                    </w:rPr>
                  </w:pPr>
                  <w:r w:rsidRPr="00875644">
                    <w:rPr>
                      <w:rFonts w:eastAsia="Times New Roman" w:cs="Arial"/>
                      <w:b/>
                      <w:bCs/>
                      <w:color w:val="222222"/>
                      <w:sz w:val="19"/>
                      <w:szCs w:val="19"/>
                    </w:rPr>
                    <w:t>Stacy Miller</w:t>
                  </w:r>
                  <w:r w:rsidRPr="00875644">
                    <w:rPr>
                      <w:rFonts w:eastAsia="Times New Roman" w:cs="Arial"/>
                      <w:b/>
                      <w:bCs/>
                      <w:sz w:val="27"/>
                      <w:szCs w:val="27"/>
                    </w:rPr>
                    <w:t> </w:t>
                  </w:r>
                  <w:hyperlink r:id="rId5" w:tgtFrame="_blank" w:history="1">
                    <w:r w:rsidRPr="00875644">
                      <w:rPr>
                        <w:rFonts w:eastAsia="Times New Roman" w:cs="Arial"/>
                        <w:b/>
                        <w:bCs/>
                        <w:color w:val="222222"/>
                        <w:sz w:val="27"/>
                        <w:szCs w:val="27"/>
                        <w:u w:val="single"/>
                      </w:rPr>
                      <w:t>via</w:t>
                    </w:r>
                  </w:hyperlink>
                  <w:r w:rsidRPr="00875644">
                    <w:rPr>
                      <w:rFonts w:eastAsia="Times New Roman" w:cs="Arial"/>
                      <w:b/>
                      <w:bCs/>
                      <w:color w:val="555555"/>
                      <w:sz w:val="27"/>
                      <w:szCs w:val="27"/>
                    </w:rPr>
                    <w:t> googlegroups.com </w:t>
                  </w:r>
                </w:p>
              </w:tc>
            </w:tr>
          </w:tbl>
          <w:p w:rsidR="00875644" w:rsidRPr="00875644" w:rsidRDefault="00875644" w:rsidP="00875644">
            <w:pPr>
              <w:rPr>
                <w:rFonts w:eastAsia="Times New Roman" w:cs="Arial"/>
                <w:sz w:val="24"/>
                <w:szCs w:val="24"/>
              </w:rPr>
            </w:pPr>
          </w:p>
        </w:tc>
        <w:tc>
          <w:tcPr>
            <w:tcW w:w="0" w:type="auto"/>
            <w:noWrap/>
            <w:hideMark/>
          </w:tcPr>
          <w:p w:rsidR="00875644" w:rsidRPr="00875644" w:rsidRDefault="00875644" w:rsidP="00875644">
            <w:pPr>
              <w:jc w:val="right"/>
              <w:rPr>
                <w:rFonts w:eastAsia="Times New Roman" w:cs="Arial"/>
                <w:color w:val="222222"/>
                <w:sz w:val="24"/>
                <w:szCs w:val="24"/>
              </w:rPr>
            </w:pPr>
            <w:r w:rsidRPr="00875644">
              <w:rPr>
                <w:rFonts w:eastAsia="Times New Roman" w:cs="Arial"/>
                <w:color w:val="222222"/>
                <w:sz w:val="24"/>
                <w:szCs w:val="24"/>
              </w:rPr>
              <w:t>Jul 11 (3 days ago)</w:t>
            </w:r>
          </w:p>
          <w:p w:rsidR="00875644" w:rsidRPr="00875644" w:rsidRDefault="00875644" w:rsidP="00875644">
            <w:pPr>
              <w:jc w:val="right"/>
              <w:rPr>
                <w:rFonts w:eastAsia="Times New Roman" w:cs="Arial"/>
                <w:color w:val="222222"/>
                <w:sz w:val="24"/>
                <w:szCs w:val="24"/>
              </w:rPr>
            </w:pPr>
            <w:r w:rsidRPr="00875644">
              <w:rPr>
                <w:rFonts w:eastAsia="Times New Roman" w:cs="Arial"/>
                <w:noProof/>
                <w:color w:val="222222"/>
                <w:sz w:val="24"/>
                <w:szCs w:val="24"/>
              </w:rPr>
              <w:drawing>
                <wp:inline distT="0" distB="0" distL="0" distR="0" wp14:anchorId="10317828" wp14:editId="54DB491B">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75644" w:rsidRPr="00875644" w:rsidRDefault="00875644" w:rsidP="00875644">
            <w:pPr>
              <w:jc w:val="right"/>
              <w:rPr>
                <w:rFonts w:eastAsia="Times New Roman" w:cs="Arial"/>
                <w:color w:val="222222"/>
                <w:sz w:val="24"/>
                <w:szCs w:val="24"/>
              </w:rPr>
            </w:pPr>
          </w:p>
        </w:tc>
        <w:tc>
          <w:tcPr>
            <w:tcW w:w="0" w:type="auto"/>
            <w:vMerge w:val="restart"/>
            <w:noWrap/>
            <w:hideMark/>
          </w:tcPr>
          <w:p w:rsidR="00875644" w:rsidRPr="00875644" w:rsidRDefault="00875644" w:rsidP="00875644">
            <w:pPr>
              <w:shd w:val="clear" w:color="auto" w:fill="F5F5F5"/>
              <w:spacing w:line="405" w:lineRule="atLeast"/>
              <w:jc w:val="center"/>
              <w:rPr>
                <w:rFonts w:eastAsia="Times New Roman" w:cs="Arial"/>
                <w:b/>
                <w:bCs/>
                <w:color w:val="444444"/>
                <w:sz w:val="17"/>
                <w:szCs w:val="17"/>
              </w:rPr>
            </w:pPr>
            <w:r w:rsidRPr="00875644">
              <w:rPr>
                <w:rFonts w:eastAsia="Times New Roman" w:cs="Arial"/>
                <w:b/>
                <w:bCs/>
                <w:noProof/>
                <w:color w:val="444444"/>
                <w:sz w:val="17"/>
                <w:szCs w:val="17"/>
              </w:rPr>
              <w:drawing>
                <wp:inline distT="0" distB="0" distL="0" distR="0" wp14:anchorId="40597B48" wp14:editId="43DB4FD9">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75644" w:rsidRPr="00875644" w:rsidRDefault="00875644" w:rsidP="00875644">
            <w:pPr>
              <w:shd w:val="clear" w:color="auto" w:fill="F5F5F5"/>
              <w:spacing w:line="405" w:lineRule="atLeast"/>
              <w:jc w:val="center"/>
              <w:rPr>
                <w:rFonts w:eastAsia="Times New Roman" w:cs="Arial"/>
                <w:b/>
                <w:bCs/>
                <w:color w:val="444444"/>
                <w:sz w:val="17"/>
                <w:szCs w:val="17"/>
              </w:rPr>
            </w:pPr>
            <w:r w:rsidRPr="00875644">
              <w:rPr>
                <w:rFonts w:eastAsia="Times New Roman" w:cs="Arial"/>
                <w:b/>
                <w:bCs/>
                <w:noProof/>
                <w:color w:val="444444"/>
                <w:sz w:val="17"/>
                <w:szCs w:val="17"/>
              </w:rPr>
              <w:drawing>
                <wp:inline distT="0" distB="0" distL="0" distR="0" wp14:anchorId="59029AAE" wp14:editId="53F4EA1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75644" w:rsidRPr="00875644" w:rsidTr="00875644">
        <w:trPr>
          <w:trHeight w:val="240"/>
        </w:trPr>
        <w:tc>
          <w:tcPr>
            <w:tcW w:w="0" w:type="auto"/>
            <w:gridSpan w:val="3"/>
            <w:vAlign w:val="center"/>
            <w:hideMark/>
          </w:tcPr>
          <w:tbl>
            <w:tblPr>
              <w:tblW w:w="7560" w:type="dxa"/>
              <w:tblCellMar>
                <w:left w:w="0" w:type="dxa"/>
                <w:right w:w="0" w:type="dxa"/>
              </w:tblCellMar>
              <w:tblLook w:val="04A0" w:firstRow="1" w:lastRow="0" w:firstColumn="1" w:lastColumn="0" w:noHBand="0" w:noVBand="1"/>
            </w:tblPr>
            <w:tblGrid>
              <w:gridCol w:w="7560"/>
            </w:tblGrid>
            <w:tr w:rsidR="00875644" w:rsidRPr="00875644">
              <w:tc>
                <w:tcPr>
                  <w:tcW w:w="0" w:type="auto"/>
                  <w:noWrap/>
                  <w:vAlign w:val="center"/>
                  <w:hideMark/>
                </w:tcPr>
                <w:p w:rsidR="00875644" w:rsidRPr="00875644" w:rsidRDefault="00875644" w:rsidP="00875644">
                  <w:pPr>
                    <w:rPr>
                      <w:rFonts w:eastAsia="Times New Roman" w:cs="Arial"/>
                      <w:sz w:val="24"/>
                      <w:szCs w:val="24"/>
                    </w:rPr>
                  </w:pPr>
                  <w:r w:rsidRPr="00875644">
                    <w:rPr>
                      <w:rFonts w:eastAsia="Times New Roman" w:cs="Arial"/>
                      <w:color w:val="777777"/>
                      <w:sz w:val="24"/>
                      <w:szCs w:val="24"/>
                    </w:rPr>
                    <w:t>to FMC-List</w:t>
                  </w:r>
                </w:p>
                <w:p w:rsidR="00875644" w:rsidRPr="00875644" w:rsidRDefault="00875644" w:rsidP="00875644">
                  <w:pPr>
                    <w:textAlignment w:val="top"/>
                    <w:rPr>
                      <w:rFonts w:eastAsia="Times New Roman" w:cs="Arial"/>
                      <w:sz w:val="24"/>
                      <w:szCs w:val="24"/>
                    </w:rPr>
                  </w:pPr>
                  <w:r w:rsidRPr="00875644">
                    <w:rPr>
                      <w:rFonts w:eastAsia="Times New Roman" w:cs="Arial"/>
                      <w:noProof/>
                      <w:sz w:val="24"/>
                      <w:szCs w:val="24"/>
                    </w:rPr>
                    <w:drawing>
                      <wp:inline distT="0" distB="0" distL="0" distR="0" wp14:anchorId="1F784E8E" wp14:editId="656A6B49">
                        <wp:extent cx="9525" cy="9525"/>
                        <wp:effectExtent l="0" t="0" r="0" b="0"/>
                        <wp:docPr id="4" name=":1b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j"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75644" w:rsidRPr="00875644" w:rsidRDefault="00875644" w:rsidP="00875644">
            <w:pPr>
              <w:rPr>
                <w:rFonts w:eastAsia="Times New Roman" w:cs="Arial"/>
                <w:sz w:val="24"/>
                <w:szCs w:val="24"/>
              </w:rPr>
            </w:pPr>
          </w:p>
        </w:tc>
        <w:tc>
          <w:tcPr>
            <w:tcW w:w="0" w:type="auto"/>
            <w:vMerge/>
            <w:vAlign w:val="center"/>
            <w:hideMark/>
          </w:tcPr>
          <w:p w:rsidR="00875644" w:rsidRPr="00875644" w:rsidRDefault="00875644" w:rsidP="00875644">
            <w:pPr>
              <w:rPr>
                <w:rFonts w:eastAsia="Times New Roman" w:cs="Arial"/>
                <w:b/>
                <w:bCs/>
                <w:color w:val="444444"/>
                <w:sz w:val="17"/>
                <w:szCs w:val="17"/>
              </w:rPr>
            </w:pPr>
          </w:p>
        </w:tc>
      </w:tr>
    </w:tbl>
    <w:p w:rsidR="00875644" w:rsidRPr="00875644" w:rsidRDefault="00875644" w:rsidP="00875644">
      <w:pPr>
        <w:shd w:val="clear" w:color="auto" w:fill="FFFFFF"/>
        <w:spacing w:before="100" w:beforeAutospacing="1" w:after="100" w:afterAutospacing="1"/>
        <w:rPr>
          <w:rFonts w:eastAsia="Times New Roman" w:cs="Arial"/>
          <w:color w:val="222222"/>
          <w:sz w:val="19"/>
          <w:szCs w:val="19"/>
        </w:rPr>
      </w:pPr>
      <w:r w:rsidRPr="00875644">
        <w:rPr>
          <w:rFonts w:ascii="Verdana" w:eastAsia="Times New Roman" w:hAnsi="Verdana" w:cs="Arial"/>
          <w:color w:val="222222"/>
          <w:sz w:val="20"/>
          <w:szCs w:val="20"/>
        </w:rPr>
        <w:t>Happy Friday, FMC-</w:t>
      </w:r>
      <w:proofErr w:type="spellStart"/>
      <w:r w:rsidRPr="00875644">
        <w:rPr>
          <w:rFonts w:ascii="Verdana" w:eastAsia="Times New Roman" w:hAnsi="Verdana" w:cs="Arial"/>
          <w:color w:val="222222"/>
          <w:sz w:val="20"/>
          <w:szCs w:val="20"/>
        </w:rPr>
        <w:t>listers</w:t>
      </w:r>
      <w:proofErr w:type="spellEnd"/>
      <w:r w:rsidRPr="00875644">
        <w:rPr>
          <w:rFonts w:ascii="Verdana" w:eastAsia="Times New Roman" w:hAnsi="Verdana" w:cs="Arial"/>
          <w:color w:val="222222"/>
          <w:sz w:val="20"/>
          <w:szCs w:val="20"/>
        </w:rPr>
        <w:t>!  Given some of the past discussion among FMC members and list subscribers about 501(c</w:t>
      </w:r>
      <w:proofErr w:type="gramStart"/>
      <w:r w:rsidRPr="00875644">
        <w:rPr>
          <w:rFonts w:ascii="Verdana" w:eastAsia="Times New Roman" w:hAnsi="Verdana" w:cs="Arial"/>
          <w:color w:val="222222"/>
          <w:sz w:val="20"/>
          <w:szCs w:val="20"/>
        </w:rPr>
        <w:t>)(</w:t>
      </w:r>
      <w:proofErr w:type="gramEnd"/>
      <w:r w:rsidRPr="00875644">
        <w:rPr>
          <w:rFonts w:ascii="Verdana" w:eastAsia="Times New Roman" w:hAnsi="Verdana" w:cs="Arial"/>
          <w:color w:val="222222"/>
          <w:sz w:val="20"/>
          <w:szCs w:val="20"/>
        </w:rPr>
        <w:t>3) application and eligibility, I wanted to share some news from the IRS for those organizations considering applying to the IRS for this form of tax-exempt status.  On July 1st, IRS introduced a short-form application (Form 1023-EZ) to help small 501(c</w:t>
      </w:r>
      <w:proofErr w:type="gramStart"/>
      <w:r w:rsidRPr="00875644">
        <w:rPr>
          <w:rFonts w:ascii="Verdana" w:eastAsia="Times New Roman" w:hAnsi="Verdana" w:cs="Arial"/>
          <w:color w:val="222222"/>
          <w:sz w:val="20"/>
          <w:szCs w:val="20"/>
        </w:rPr>
        <w:t>)(</w:t>
      </w:r>
      <w:proofErr w:type="gramEnd"/>
      <w:r w:rsidRPr="00875644">
        <w:rPr>
          <w:rFonts w:ascii="Verdana" w:eastAsia="Times New Roman" w:hAnsi="Verdana" w:cs="Arial"/>
          <w:color w:val="222222"/>
          <w:sz w:val="20"/>
          <w:szCs w:val="20"/>
        </w:rPr>
        <w:t>3) charities apply for tax-exempt status more easily. </w:t>
      </w:r>
      <w:r w:rsidRPr="00875644">
        <w:rPr>
          <w:rFonts w:ascii="Verdana" w:eastAsia="Times New Roman" w:hAnsi="Verdana" w:cs="Arial"/>
          <w:color w:val="222222"/>
          <w:sz w:val="20"/>
          <w:szCs w:val="20"/>
        </w:rPr>
        <w:br/>
      </w:r>
      <w:r w:rsidRPr="00875644">
        <w:rPr>
          <w:rFonts w:ascii="Verdana" w:eastAsia="Times New Roman" w:hAnsi="Verdana" w:cs="Arial"/>
          <w:color w:val="222222"/>
          <w:sz w:val="20"/>
          <w:szCs w:val="20"/>
        </w:rPr>
        <w:br/>
        <w:t>The new form is three pages long, compared with the standard 26-page Form 1023. The IRS estimates that up to 70 percent of organizations applying for 501(c</w:t>
      </w:r>
      <w:proofErr w:type="gramStart"/>
      <w:r w:rsidRPr="00875644">
        <w:rPr>
          <w:rFonts w:ascii="Verdana" w:eastAsia="Times New Roman" w:hAnsi="Verdana" w:cs="Arial"/>
          <w:color w:val="222222"/>
          <w:sz w:val="20"/>
          <w:szCs w:val="20"/>
        </w:rPr>
        <w:t>)(</w:t>
      </w:r>
      <w:proofErr w:type="gramEnd"/>
      <w:r w:rsidRPr="00875644">
        <w:rPr>
          <w:rFonts w:ascii="Verdana" w:eastAsia="Times New Roman" w:hAnsi="Verdana" w:cs="Arial"/>
          <w:color w:val="222222"/>
          <w:sz w:val="20"/>
          <w:szCs w:val="20"/>
        </w:rPr>
        <w:t>3) status will be eligible to use the new streamlined form. Organizations with gross receipts of $50,000 or less and assets of $250,000 or less are eligible for the new 1023-EZ.</w:t>
      </w:r>
    </w:p>
    <w:p w:rsidR="00875644" w:rsidRPr="00875644" w:rsidRDefault="00875644" w:rsidP="00875644">
      <w:pPr>
        <w:shd w:val="clear" w:color="auto" w:fill="FFFFFF"/>
        <w:spacing w:before="100" w:beforeAutospacing="1" w:after="100" w:afterAutospacing="1"/>
        <w:rPr>
          <w:rFonts w:eastAsia="Times New Roman" w:cs="Arial"/>
          <w:color w:val="222222"/>
          <w:sz w:val="19"/>
          <w:szCs w:val="19"/>
        </w:rPr>
      </w:pPr>
      <w:r w:rsidRPr="00875644">
        <w:rPr>
          <w:rFonts w:ascii="Verdana" w:eastAsia="Times New Roman" w:hAnsi="Verdana" w:cs="Arial"/>
          <w:color w:val="222222"/>
          <w:sz w:val="19"/>
          <w:szCs w:val="19"/>
        </w:rPr>
        <w:t>See the press release below, and </w:t>
      </w:r>
      <w:hyperlink r:id="rId7" w:tgtFrame="_blank" w:history="1">
        <w:r w:rsidRPr="00875644">
          <w:rPr>
            <w:rFonts w:ascii="Verdana" w:eastAsia="Times New Roman" w:hAnsi="Verdana" w:cs="Arial"/>
            <w:color w:val="1155CC"/>
            <w:sz w:val="19"/>
            <w:szCs w:val="19"/>
            <w:u w:val="single"/>
          </w:rPr>
          <w:t>here</w:t>
        </w:r>
      </w:hyperlink>
      <w:r w:rsidRPr="00875644">
        <w:rPr>
          <w:rFonts w:ascii="Verdana" w:eastAsia="Times New Roman" w:hAnsi="Verdana" w:cs="Arial"/>
          <w:color w:val="222222"/>
          <w:sz w:val="19"/>
          <w:szCs w:val="19"/>
        </w:rPr>
        <w:t>.</w:t>
      </w:r>
    </w:p>
    <w:p w:rsidR="00875644" w:rsidRPr="00875644" w:rsidRDefault="00875644" w:rsidP="00875644">
      <w:pPr>
        <w:shd w:val="clear" w:color="auto" w:fill="FFFFFF"/>
        <w:spacing w:before="100" w:beforeAutospacing="1" w:after="100" w:afterAutospacing="1"/>
        <w:rPr>
          <w:rFonts w:eastAsia="Times New Roman" w:cs="Arial"/>
          <w:color w:val="222222"/>
          <w:sz w:val="19"/>
          <w:szCs w:val="19"/>
        </w:rPr>
      </w:pPr>
      <w:r w:rsidRPr="00875644">
        <w:rPr>
          <w:rFonts w:ascii="Verdana" w:eastAsia="Times New Roman" w:hAnsi="Verdana" w:cs="Arial"/>
          <w:color w:val="222222"/>
          <w:sz w:val="19"/>
          <w:szCs w:val="19"/>
        </w:rPr>
        <w:t>Stacy</w:t>
      </w:r>
    </w:p>
    <w:p w:rsidR="00875644" w:rsidRPr="00875644" w:rsidRDefault="00875644" w:rsidP="00875644">
      <w:pPr>
        <w:shd w:val="clear" w:color="auto" w:fill="FFFFFF"/>
        <w:rPr>
          <w:rFonts w:eastAsia="Times New Roman" w:cs="Arial"/>
          <w:color w:val="222222"/>
          <w:sz w:val="19"/>
          <w:szCs w:val="19"/>
        </w:rPr>
      </w:pPr>
      <w:r w:rsidRPr="00875644">
        <w:rPr>
          <w:rFonts w:eastAsia="Times New Roman" w:cs="Arial"/>
          <w:color w:val="222222"/>
          <w:sz w:val="19"/>
          <w:szCs w:val="19"/>
        </w:rPr>
        <w:t>-------------------------------------</w:t>
      </w:r>
      <w:r w:rsidRPr="00875644">
        <w:rPr>
          <w:rFonts w:eastAsia="Times New Roman" w:cs="Arial"/>
          <w:color w:val="222222"/>
          <w:sz w:val="19"/>
          <w:szCs w:val="19"/>
        </w:rPr>
        <w:br/>
        <w:t>Stacy M. Miller</w:t>
      </w:r>
      <w:r w:rsidRPr="00875644">
        <w:rPr>
          <w:rFonts w:eastAsia="Times New Roman" w:cs="Arial"/>
          <w:color w:val="222222"/>
          <w:sz w:val="19"/>
          <w:szCs w:val="19"/>
        </w:rPr>
        <w:br/>
        <w:t>Program Advisor, Farmers Market Coalition</w:t>
      </w:r>
      <w:r w:rsidRPr="00875644">
        <w:rPr>
          <w:rFonts w:eastAsia="Times New Roman" w:cs="Arial"/>
          <w:color w:val="222222"/>
          <w:sz w:val="19"/>
          <w:szCs w:val="19"/>
        </w:rPr>
        <w:br/>
        <w:t>mobile: </w:t>
      </w:r>
      <w:hyperlink r:id="rId8" w:tgtFrame="_blank" w:history="1">
        <w:r w:rsidRPr="00875644">
          <w:rPr>
            <w:rFonts w:eastAsia="Times New Roman" w:cs="Arial"/>
            <w:color w:val="1155CC"/>
            <w:sz w:val="19"/>
            <w:szCs w:val="19"/>
            <w:u w:val="single"/>
          </w:rPr>
          <w:t>304-685-2669</w:t>
        </w:r>
      </w:hyperlink>
    </w:p>
    <w:p w:rsidR="00875644" w:rsidRPr="00875644" w:rsidRDefault="00875644" w:rsidP="00875644">
      <w:pPr>
        <w:shd w:val="clear" w:color="auto" w:fill="FFFFFF"/>
        <w:rPr>
          <w:rFonts w:eastAsia="Times New Roman" w:cs="Arial"/>
          <w:color w:val="222222"/>
          <w:sz w:val="19"/>
          <w:szCs w:val="19"/>
        </w:rPr>
      </w:pPr>
      <w:proofErr w:type="gramStart"/>
      <w:r w:rsidRPr="00875644">
        <w:rPr>
          <w:rFonts w:eastAsia="Times New Roman" w:cs="Arial"/>
          <w:color w:val="222222"/>
          <w:sz w:val="19"/>
          <w:szCs w:val="19"/>
        </w:rPr>
        <w:t>twitter</w:t>
      </w:r>
      <w:proofErr w:type="gramEnd"/>
      <w:r w:rsidRPr="00875644">
        <w:rPr>
          <w:rFonts w:eastAsia="Times New Roman" w:cs="Arial"/>
          <w:color w:val="222222"/>
          <w:sz w:val="19"/>
          <w:szCs w:val="19"/>
        </w:rPr>
        <w:t>: @</w:t>
      </w:r>
      <w:proofErr w:type="spellStart"/>
      <w:r w:rsidRPr="00875644">
        <w:rPr>
          <w:rFonts w:eastAsia="Times New Roman" w:cs="Arial"/>
          <w:color w:val="222222"/>
          <w:sz w:val="19"/>
          <w:szCs w:val="19"/>
        </w:rPr>
        <w:t>goodphyte</w:t>
      </w:r>
      <w:proofErr w:type="spellEnd"/>
      <w:r w:rsidRPr="00875644">
        <w:rPr>
          <w:rFonts w:eastAsia="Times New Roman" w:cs="Arial"/>
          <w:color w:val="222222"/>
          <w:sz w:val="19"/>
          <w:szCs w:val="19"/>
        </w:rPr>
        <w:t> </w:t>
      </w:r>
    </w:p>
    <w:tbl>
      <w:tblPr>
        <w:tblW w:w="8235" w:type="dxa"/>
        <w:tblCellSpacing w:w="0" w:type="dxa"/>
        <w:tblCellMar>
          <w:left w:w="0" w:type="dxa"/>
          <w:right w:w="0" w:type="dxa"/>
        </w:tblCellMar>
        <w:tblLook w:val="04A0" w:firstRow="1" w:lastRow="0" w:firstColumn="1" w:lastColumn="0" w:noHBand="0" w:noVBand="1"/>
      </w:tblPr>
      <w:tblGrid>
        <w:gridCol w:w="8235"/>
      </w:tblGrid>
      <w:tr w:rsidR="00875644" w:rsidRPr="00875644" w:rsidTr="00875644">
        <w:trPr>
          <w:tblCellSpacing w:w="0" w:type="dxa"/>
        </w:trPr>
        <w:tc>
          <w:tcPr>
            <w:tcW w:w="0" w:type="auto"/>
            <w:vAlign w:val="center"/>
            <w:hideMark/>
          </w:tcPr>
          <w:p w:rsidR="00875644" w:rsidRPr="00875644" w:rsidRDefault="00875644" w:rsidP="00875644">
            <w:pPr>
              <w:jc w:val="center"/>
              <w:rPr>
                <w:rFonts w:eastAsia="Times New Roman" w:cs="Arial"/>
                <w:sz w:val="24"/>
                <w:szCs w:val="24"/>
              </w:rPr>
            </w:pPr>
          </w:p>
        </w:tc>
      </w:tr>
      <w:tr w:rsidR="00875644" w:rsidRPr="00875644" w:rsidTr="00875644">
        <w:trPr>
          <w:trHeight w:val="300"/>
          <w:tblCellSpacing w:w="0" w:type="dxa"/>
        </w:trPr>
        <w:tc>
          <w:tcPr>
            <w:tcW w:w="0" w:type="auto"/>
            <w:vAlign w:val="center"/>
            <w:hideMark/>
          </w:tcPr>
          <w:p w:rsidR="00875644" w:rsidRPr="00875644" w:rsidRDefault="00875644" w:rsidP="00875644">
            <w:pPr>
              <w:rPr>
                <w:rFonts w:eastAsia="Times New Roman" w:cs="Arial"/>
                <w:sz w:val="24"/>
                <w:szCs w:val="24"/>
              </w:rPr>
            </w:pPr>
          </w:p>
        </w:tc>
      </w:tr>
      <w:tr w:rsidR="00875644" w:rsidRPr="00875644" w:rsidTr="00875644">
        <w:trPr>
          <w:tblCellSpacing w:w="0" w:type="dxa"/>
        </w:trPr>
        <w:tc>
          <w:tcPr>
            <w:tcW w:w="0" w:type="auto"/>
            <w:vAlign w:val="center"/>
            <w:hideMark/>
          </w:tcPr>
          <w:p w:rsidR="00875644" w:rsidRPr="00875644" w:rsidRDefault="00875644" w:rsidP="00875644">
            <w:pPr>
              <w:spacing w:before="100" w:beforeAutospacing="1" w:after="100" w:afterAutospacing="1"/>
              <w:outlineLvl w:val="0"/>
              <w:rPr>
                <w:rFonts w:ascii="Verdana" w:eastAsia="Times New Roman" w:hAnsi="Verdana" w:cs="Arial"/>
                <w:b/>
                <w:bCs/>
                <w:kern w:val="36"/>
                <w:sz w:val="48"/>
                <w:szCs w:val="48"/>
              </w:rPr>
            </w:pPr>
            <w:r w:rsidRPr="00875644">
              <w:rPr>
                <w:rFonts w:ascii="Verdana" w:eastAsia="Times New Roman" w:hAnsi="Verdana" w:cs="Arial"/>
                <w:b/>
                <w:bCs/>
                <w:kern w:val="36"/>
                <w:sz w:val="48"/>
                <w:szCs w:val="48"/>
              </w:rPr>
              <w:t>New 1023-EZ Form Makes Applying for 501(c)(3) Tax-Exempt Status Easier; Most Charities Qualify</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IR-2014-77, July 1, 2014</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WASHINGTON — The Internal Revenue Service today introduced a new, shorter application form to help small charities apply for 501(c</w:t>
            </w:r>
            <w:proofErr w:type="gramStart"/>
            <w:r w:rsidRPr="00875644">
              <w:rPr>
                <w:rFonts w:ascii="Verdana" w:eastAsia="Times New Roman" w:hAnsi="Verdana" w:cs="Arial"/>
                <w:sz w:val="24"/>
                <w:szCs w:val="24"/>
              </w:rPr>
              <w:t>)(</w:t>
            </w:r>
            <w:proofErr w:type="gramEnd"/>
            <w:r w:rsidRPr="00875644">
              <w:rPr>
                <w:rFonts w:ascii="Verdana" w:eastAsia="Times New Roman" w:hAnsi="Verdana" w:cs="Arial"/>
                <w:sz w:val="24"/>
                <w:szCs w:val="24"/>
              </w:rPr>
              <w:t>3) tax-exempt status more easily.</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 xml:space="preserve">“This is a common-sense approach that will help reduce lengthy processing delays for small tax-exempt groups and ultimately larger organizations as well,” said IRS Commissioner John </w:t>
            </w:r>
            <w:proofErr w:type="spellStart"/>
            <w:r w:rsidRPr="00875644">
              <w:rPr>
                <w:rFonts w:ascii="Verdana" w:eastAsia="Times New Roman" w:hAnsi="Verdana" w:cs="Arial"/>
                <w:sz w:val="24"/>
                <w:szCs w:val="24"/>
              </w:rPr>
              <w:t>Koskinen</w:t>
            </w:r>
            <w:proofErr w:type="spellEnd"/>
            <w:r w:rsidRPr="00875644">
              <w:rPr>
                <w:rFonts w:ascii="Verdana" w:eastAsia="Times New Roman" w:hAnsi="Verdana" w:cs="Arial"/>
                <w:sz w:val="24"/>
                <w:szCs w:val="24"/>
              </w:rPr>
              <w:t xml:space="preserve">. “The change cuts paperwork for these charitable groups and speeds application processing so they can focus on their </w:t>
            </w:r>
            <w:r w:rsidRPr="00875644">
              <w:rPr>
                <w:rFonts w:ascii="Verdana" w:eastAsia="Times New Roman" w:hAnsi="Verdana" w:cs="Arial"/>
                <w:sz w:val="24"/>
                <w:szCs w:val="24"/>
              </w:rPr>
              <w:lastRenderedPageBreak/>
              <w:t>important work."</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The new Form 1023-EZ, available today on IRS.gov, is three pages long, compared with the standard 26-page Form 1023. Most small organizations, including as many as 70 percent of all applicants, qualify to use the new streamlined form. Most organizations with gross receipts of $50,000 or less and assets of $250,000 or less are eligible.</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 xml:space="preserve">"Previously, all of these groups went through the same lengthy application process -- regardless of size," </w:t>
            </w:r>
            <w:proofErr w:type="spellStart"/>
            <w:r w:rsidRPr="00875644">
              <w:rPr>
                <w:rFonts w:ascii="Verdana" w:eastAsia="Times New Roman" w:hAnsi="Verdana" w:cs="Arial"/>
                <w:sz w:val="24"/>
                <w:szCs w:val="24"/>
              </w:rPr>
              <w:t>Koskinen</w:t>
            </w:r>
            <w:proofErr w:type="spellEnd"/>
            <w:r w:rsidRPr="00875644">
              <w:rPr>
                <w:rFonts w:ascii="Verdana" w:eastAsia="Times New Roman" w:hAnsi="Verdana" w:cs="Arial"/>
                <w:sz w:val="24"/>
                <w:szCs w:val="24"/>
              </w:rPr>
              <w:t xml:space="preserve"> said. "It didn't matter if you were a small soccer or gardening club or a major research organization. This process created needlessly long delays for groups, which didn’t help the groups, the taxpaying public or the IRS.”</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The change will allow the IRS to speed the approval process for smaller groups and free up resources to review applications from larger, more complex organizations while reducing the application backlog. Currently, the IRS has more than 60,000 501(c</w:t>
            </w:r>
            <w:proofErr w:type="gramStart"/>
            <w:r w:rsidRPr="00875644">
              <w:rPr>
                <w:rFonts w:ascii="Verdana" w:eastAsia="Times New Roman" w:hAnsi="Verdana" w:cs="Arial"/>
                <w:sz w:val="24"/>
                <w:szCs w:val="24"/>
              </w:rPr>
              <w:t>)(</w:t>
            </w:r>
            <w:proofErr w:type="gramEnd"/>
            <w:r w:rsidRPr="00875644">
              <w:rPr>
                <w:rFonts w:ascii="Verdana" w:eastAsia="Times New Roman" w:hAnsi="Verdana" w:cs="Arial"/>
                <w:sz w:val="24"/>
                <w:szCs w:val="24"/>
              </w:rPr>
              <w:t>3) applications in its backlog, with many of them pending for nine months.</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Following feedback this spring from the tax community and those working with charitable groups, the IRS refined the 1023-EZ proposal for today's announcement, including revising the $50,000 gross receipts threshold down from an earlier figure of $200,000.</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 xml:space="preserve">"We believe that many small organizations will be able to complete this form without creating major compliance risks," </w:t>
            </w:r>
            <w:proofErr w:type="spellStart"/>
            <w:r w:rsidRPr="00875644">
              <w:rPr>
                <w:rFonts w:ascii="Verdana" w:eastAsia="Times New Roman" w:hAnsi="Verdana" w:cs="Arial"/>
                <w:sz w:val="24"/>
                <w:szCs w:val="24"/>
              </w:rPr>
              <w:t>Koskinen</w:t>
            </w:r>
            <w:proofErr w:type="spellEnd"/>
            <w:r w:rsidRPr="00875644">
              <w:rPr>
                <w:rFonts w:ascii="Verdana" w:eastAsia="Times New Roman" w:hAnsi="Verdana" w:cs="Arial"/>
                <w:sz w:val="24"/>
                <w:szCs w:val="24"/>
              </w:rPr>
              <w:t xml:space="preserve"> said. "Rather than using large amounts of IRS resources up front reviewing complex applications during a lengthy process, we believe the streamlined form will allow us to devote more compliance activity on the back end to ensure groups are actually doing the charitable work they apply to do."</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The </w:t>
            </w:r>
            <w:hyperlink r:id="rId9" w:tgtFrame="_blank" w:history="1">
              <w:r w:rsidRPr="00875644">
                <w:rPr>
                  <w:rFonts w:ascii="Verdana" w:eastAsia="Times New Roman" w:hAnsi="Verdana" w:cs="Arial"/>
                  <w:color w:val="1155CC"/>
                  <w:sz w:val="24"/>
                  <w:szCs w:val="24"/>
                  <w:u w:val="single"/>
                </w:rPr>
                <w:t>new EZ form</w:t>
              </w:r>
            </w:hyperlink>
            <w:r w:rsidRPr="00875644">
              <w:rPr>
                <w:rFonts w:ascii="Verdana" w:eastAsia="Times New Roman" w:hAnsi="Verdana" w:cs="Arial"/>
                <w:sz w:val="24"/>
                <w:szCs w:val="24"/>
              </w:rPr>
              <w:t> must be filed online. The </w:t>
            </w:r>
            <w:hyperlink r:id="rId10" w:tgtFrame="_blank" w:history="1">
              <w:r w:rsidRPr="00875644">
                <w:rPr>
                  <w:rFonts w:ascii="Verdana" w:eastAsia="Times New Roman" w:hAnsi="Verdana" w:cs="Arial"/>
                  <w:color w:val="1155CC"/>
                  <w:sz w:val="24"/>
                  <w:szCs w:val="24"/>
                  <w:u w:val="single"/>
                </w:rPr>
                <w:t>instructions</w:t>
              </w:r>
            </w:hyperlink>
            <w:r w:rsidRPr="00875644">
              <w:rPr>
                <w:rFonts w:ascii="Verdana" w:eastAsia="Times New Roman" w:hAnsi="Verdana" w:cs="Arial"/>
                <w:sz w:val="24"/>
                <w:szCs w:val="24"/>
              </w:rPr>
              <w:t> include an eligibility checklist that organizations must complete before filing the form.</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The Form 1023-EZ must be filed using </w:t>
            </w:r>
            <w:hyperlink r:id="rId11" w:tgtFrame="_blank" w:history="1">
              <w:r w:rsidRPr="00875644">
                <w:rPr>
                  <w:rFonts w:ascii="Verdana" w:eastAsia="Times New Roman" w:hAnsi="Verdana" w:cs="Arial"/>
                  <w:color w:val="1155CC"/>
                  <w:sz w:val="24"/>
                  <w:szCs w:val="24"/>
                  <w:u w:val="single"/>
                </w:rPr>
                <w:t>pay.gov</w:t>
              </w:r>
            </w:hyperlink>
            <w:r w:rsidRPr="00875644">
              <w:rPr>
                <w:rFonts w:ascii="Verdana" w:eastAsia="Times New Roman" w:hAnsi="Verdana" w:cs="Arial"/>
                <w:sz w:val="24"/>
                <w:szCs w:val="24"/>
              </w:rPr>
              <w:t>, and a $400 user fee is due at the time the form is submitted. Further details on the new Form 1023-EZ application process can be found in </w:t>
            </w:r>
            <w:hyperlink r:id="rId12" w:tgtFrame="_blank" w:history="1">
              <w:r w:rsidRPr="00875644">
                <w:rPr>
                  <w:rFonts w:ascii="Verdana" w:eastAsia="Times New Roman" w:hAnsi="Verdana" w:cs="Arial"/>
                  <w:color w:val="1155CC"/>
                  <w:sz w:val="24"/>
                  <w:szCs w:val="24"/>
                  <w:u w:val="single"/>
                </w:rPr>
                <w:t xml:space="preserve">Revenue </w:t>
              </w:r>
              <w:r w:rsidRPr="00875644">
                <w:rPr>
                  <w:rFonts w:ascii="Verdana" w:eastAsia="Times New Roman" w:hAnsi="Verdana" w:cs="Arial"/>
                  <w:color w:val="1155CC"/>
                  <w:sz w:val="24"/>
                  <w:szCs w:val="24"/>
                  <w:u w:val="single"/>
                </w:rPr>
                <w:lastRenderedPageBreak/>
                <w:t>Procedure 2014-40</w:t>
              </w:r>
            </w:hyperlink>
            <w:r w:rsidRPr="00875644">
              <w:rPr>
                <w:rFonts w:ascii="Verdana" w:eastAsia="Times New Roman" w:hAnsi="Verdana" w:cs="Arial"/>
                <w:sz w:val="24"/>
                <w:szCs w:val="24"/>
              </w:rPr>
              <w:t>, posted today on IRS.gov.</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sz w:val="24"/>
                <w:szCs w:val="24"/>
              </w:rPr>
              <w:t>There are more than a million 501(c</w:t>
            </w:r>
            <w:proofErr w:type="gramStart"/>
            <w:r w:rsidRPr="00875644">
              <w:rPr>
                <w:rFonts w:ascii="Verdana" w:eastAsia="Times New Roman" w:hAnsi="Verdana" w:cs="Arial"/>
                <w:sz w:val="24"/>
                <w:szCs w:val="24"/>
              </w:rPr>
              <w:t>)(</w:t>
            </w:r>
            <w:proofErr w:type="gramEnd"/>
            <w:r w:rsidRPr="00875644">
              <w:rPr>
                <w:rFonts w:ascii="Verdana" w:eastAsia="Times New Roman" w:hAnsi="Verdana" w:cs="Arial"/>
                <w:sz w:val="24"/>
                <w:szCs w:val="24"/>
              </w:rPr>
              <w:t>3) organizations recognized by the IRS.</w:t>
            </w:r>
          </w:p>
          <w:p w:rsidR="00875644" w:rsidRPr="00875644" w:rsidRDefault="00875644" w:rsidP="00875644">
            <w:pPr>
              <w:spacing w:before="100" w:beforeAutospacing="1" w:after="100" w:afterAutospacing="1"/>
              <w:rPr>
                <w:rFonts w:ascii="Verdana" w:eastAsia="Times New Roman" w:hAnsi="Verdana" w:cs="Arial"/>
                <w:sz w:val="24"/>
                <w:szCs w:val="24"/>
              </w:rPr>
            </w:pPr>
            <w:r w:rsidRPr="00875644">
              <w:rPr>
                <w:rFonts w:ascii="Verdana" w:eastAsia="Times New Roman" w:hAnsi="Verdana" w:cs="Arial"/>
                <w:b/>
                <w:bCs/>
                <w:sz w:val="24"/>
                <w:szCs w:val="24"/>
              </w:rPr>
              <w:t>Related Item</w:t>
            </w:r>
            <w:r w:rsidRPr="00875644">
              <w:rPr>
                <w:rFonts w:ascii="Verdana" w:eastAsia="Times New Roman" w:hAnsi="Verdana" w:cs="Arial"/>
                <w:sz w:val="24"/>
                <w:szCs w:val="24"/>
              </w:rPr>
              <w:t>:</w:t>
            </w:r>
          </w:p>
          <w:p w:rsidR="00875644" w:rsidRPr="00875644" w:rsidRDefault="00875644" w:rsidP="00875644">
            <w:pPr>
              <w:spacing w:before="100" w:beforeAutospacing="1" w:after="100" w:afterAutospacing="1"/>
              <w:rPr>
                <w:rFonts w:ascii="Verdana" w:eastAsia="Times New Roman" w:hAnsi="Verdana" w:cs="Arial"/>
                <w:sz w:val="24"/>
                <w:szCs w:val="24"/>
              </w:rPr>
            </w:pPr>
            <w:hyperlink r:id="rId13" w:tgtFrame="_blank" w:history="1">
              <w:r w:rsidRPr="00875644">
                <w:rPr>
                  <w:rFonts w:ascii="Verdana" w:eastAsia="Times New Roman" w:hAnsi="Verdana" w:cs="Arial"/>
                  <w:color w:val="1155CC"/>
                  <w:sz w:val="24"/>
                  <w:szCs w:val="24"/>
                  <w:u w:val="single"/>
                </w:rPr>
                <w:t>Information on Form 1023-EZ</w:t>
              </w:r>
            </w:hyperlink>
          </w:p>
        </w:tc>
      </w:tr>
    </w:tbl>
    <w:p w:rsidR="00875644" w:rsidRDefault="00875644"/>
    <w:sectPr w:rsidR="0087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44"/>
    <w:rsid w:val="00514D87"/>
    <w:rsid w:val="0087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44"/>
    <w:rPr>
      <w:rFonts w:ascii="Tahoma" w:hAnsi="Tahoma" w:cs="Tahoma"/>
      <w:sz w:val="16"/>
      <w:szCs w:val="16"/>
    </w:rPr>
  </w:style>
  <w:style w:type="character" w:customStyle="1" w:styleId="BalloonTextChar">
    <w:name w:val="Balloon Text Char"/>
    <w:basedOn w:val="DefaultParagraphFont"/>
    <w:link w:val="BalloonText"/>
    <w:uiPriority w:val="99"/>
    <w:semiHidden/>
    <w:rsid w:val="00875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44"/>
    <w:rPr>
      <w:rFonts w:ascii="Tahoma" w:hAnsi="Tahoma" w:cs="Tahoma"/>
      <w:sz w:val="16"/>
      <w:szCs w:val="16"/>
    </w:rPr>
  </w:style>
  <w:style w:type="character" w:customStyle="1" w:styleId="BalloonTextChar">
    <w:name w:val="Balloon Text Char"/>
    <w:basedOn w:val="DefaultParagraphFont"/>
    <w:link w:val="BalloonText"/>
    <w:uiPriority w:val="99"/>
    <w:semiHidden/>
    <w:rsid w:val="00875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8137">
      <w:bodyDiv w:val="1"/>
      <w:marLeft w:val="0"/>
      <w:marRight w:val="0"/>
      <w:marTop w:val="0"/>
      <w:marBottom w:val="0"/>
      <w:divBdr>
        <w:top w:val="none" w:sz="0" w:space="0" w:color="auto"/>
        <w:left w:val="none" w:sz="0" w:space="0" w:color="auto"/>
        <w:bottom w:val="none" w:sz="0" w:space="0" w:color="auto"/>
        <w:right w:val="none" w:sz="0" w:space="0" w:color="auto"/>
      </w:divBdr>
      <w:divsChild>
        <w:div w:id="309596178">
          <w:marLeft w:val="0"/>
          <w:marRight w:val="0"/>
          <w:marTop w:val="0"/>
          <w:marBottom w:val="0"/>
          <w:divBdr>
            <w:top w:val="none" w:sz="0" w:space="0" w:color="auto"/>
            <w:left w:val="none" w:sz="0" w:space="0" w:color="auto"/>
            <w:bottom w:val="none" w:sz="0" w:space="0" w:color="auto"/>
            <w:right w:val="none" w:sz="0" w:space="0" w:color="auto"/>
          </w:divBdr>
          <w:divsChild>
            <w:div w:id="1711344859">
              <w:marLeft w:val="0"/>
              <w:marRight w:val="0"/>
              <w:marTop w:val="0"/>
              <w:marBottom w:val="0"/>
              <w:divBdr>
                <w:top w:val="none" w:sz="0" w:space="0" w:color="auto"/>
                <w:left w:val="none" w:sz="0" w:space="0" w:color="auto"/>
                <w:bottom w:val="none" w:sz="0" w:space="0" w:color="auto"/>
                <w:right w:val="none" w:sz="0" w:space="0" w:color="auto"/>
              </w:divBdr>
              <w:divsChild>
                <w:div w:id="362025531">
                  <w:marLeft w:val="0"/>
                  <w:marRight w:val="0"/>
                  <w:marTop w:val="0"/>
                  <w:marBottom w:val="0"/>
                  <w:divBdr>
                    <w:top w:val="none" w:sz="0" w:space="0" w:color="auto"/>
                    <w:left w:val="none" w:sz="0" w:space="0" w:color="auto"/>
                    <w:bottom w:val="none" w:sz="0" w:space="0" w:color="auto"/>
                    <w:right w:val="none" w:sz="0" w:space="0" w:color="auto"/>
                  </w:divBdr>
                </w:div>
              </w:divsChild>
            </w:div>
            <w:div w:id="704404963">
              <w:marLeft w:val="-15"/>
              <w:marRight w:val="0"/>
              <w:marTop w:val="0"/>
              <w:marBottom w:val="0"/>
              <w:divBdr>
                <w:top w:val="none" w:sz="0" w:space="0" w:color="auto"/>
                <w:left w:val="none" w:sz="0" w:space="0" w:color="auto"/>
                <w:bottom w:val="none" w:sz="0" w:space="0" w:color="auto"/>
                <w:right w:val="none" w:sz="0" w:space="0" w:color="auto"/>
              </w:divBdr>
            </w:div>
            <w:div w:id="1903632204">
              <w:marLeft w:val="0"/>
              <w:marRight w:val="0"/>
              <w:marTop w:val="0"/>
              <w:marBottom w:val="0"/>
              <w:divBdr>
                <w:top w:val="none" w:sz="0" w:space="0" w:color="auto"/>
                <w:left w:val="none" w:sz="0" w:space="0" w:color="auto"/>
                <w:bottom w:val="none" w:sz="0" w:space="0" w:color="auto"/>
                <w:right w:val="none" w:sz="0" w:space="0" w:color="auto"/>
              </w:divBdr>
            </w:div>
            <w:div w:id="829518818">
              <w:marLeft w:val="75"/>
              <w:marRight w:val="0"/>
              <w:marTop w:val="0"/>
              <w:marBottom w:val="0"/>
              <w:divBdr>
                <w:top w:val="none" w:sz="0" w:space="0" w:color="auto"/>
                <w:left w:val="none" w:sz="0" w:space="0" w:color="auto"/>
                <w:bottom w:val="none" w:sz="0" w:space="0" w:color="auto"/>
                <w:right w:val="none" w:sz="0" w:space="0" w:color="auto"/>
              </w:divBdr>
            </w:div>
          </w:divsChild>
        </w:div>
        <w:div w:id="1264221391">
          <w:marLeft w:val="0"/>
          <w:marRight w:val="225"/>
          <w:marTop w:val="75"/>
          <w:marBottom w:val="0"/>
          <w:divBdr>
            <w:top w:val="none" w:sz="0" w:space="0" w:color="auto"/>
            <w:left w:val="none" w:sz="0" w:space="0" w:color="auto"/>
            <w:bottom w:val="none" w:sz="0" w:space="0" w:color="auto"/>
            <w:right w:val="none" w:sz="0" w:space="0" w:color="auto"/>
          </w:divBdr>
          <w:divsChild>
            <w:div w:id="502628016">
              <w:marLeft w:val="0"/>
              <w:marRight w:val="0"/>
              <w:marTop w:val="0"/>
              <w:marBottom w:val="0"/>
              <w:divBdr>
                <w:top w:val="none" w:sz="0" w:space="0" w:color="auto"/>
                <w:left w:val="none" w:sz="0" w:space="0" w:color="auto"/>
                <w:bottom w:val="none" w:sz="0" w:space="0" w:color="auto"/>
                <w:right w:val="none" w:sz="0" w:space="0" w:color="auto"/>
              </w:divBdr>
              <w:divsChild>
                <w:div w:id="1517227280">
                  <w:marLeft w:val="0"/>
                  <w:marRight w:val="0"/>
                  <w:marTop w:val="0"/>
                  <w:marBottom w:val="0"/>
                  <w:divBdr>
                    <w:top w:val="none" w:sz="0" w:space="0" w:color="auto"/>
                    <w:left w:val="none" w:sz="0" w:space="0" w:color="auto"/>
                    <w:bottom w:val="none" w:sz="0" w:space="0" w:color="auto"/>
                    <w:right w:val="none" w:sz="0" w:space="0" w:color="auto"/>
                  </w:divBdr>
                  <w:divsChild>
                    <w:div w:id="554849512">
                      <w:marLeft w:val="0"/>
                      <w:marRight w:val="0"/>
                      <w:marTop w:val="0"/>
                      <w:marBottom w:val="0"/>
                      <w:divBdr>
                        <w:top w:val="none" w:sz="0" w:space="0" w:color="auto"/>
                        <w:left w:val="none" w:sz="0" w:space="0" w:color="auto"/>
                        <w:bottom w:val="none" w:sz="0" w:space="0" w:color="auto"/>
                        <w:right w:val="none" w:sz="0" w:space="0" w:color="auto"/>
                      </w:divBdr>
                    </w:div>
                    <w:div w:id="1609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4-685-2669" TargetMode="External"/><Relationship Id="rId13" Type="http://schemas.openxmlformats.org/officeDocument/2006/relationships/hyperlink" Target="http://www.irs.gov/form1023ez" TargetMode="External"/><Relationship Id="rId3" Type="http://schemas.openxmlformats.org/officeDocument/2006/relationships/settings" Target="settings.xml"/><Relationship Id="rId7" Type="http://schemas.openxmlformats.org/officeDocument/2006/relationships/hyperlink" Target="http://www.irs.gov/uac/Newsroom/New-1023-EZ-Form-Makes-Applying-for-501c3Tax-Exempt-Status-Easier-Most-Charities-Qualify" TargetMode="External"/><Relationship Id="rId12" Type="http://schemas.openxmlformats.org/officeDocument/2006/relationships/hyperlink" Target="http://www.irs.gov/pub/irs-drop/rp-14-4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pay.gov/" TargetMode="External"/><Relationship Id="rId5" Type="http://schemas.openxmlformats.org/officeDocument/2006/relationships/hyperlink" Target="http://support.google.com/mail/bin/answer.py?hl=en&amp;answer=1311182&amp;ctx=mail" TargetMode="External"/><Relationship Id="rId15" Type="http://schemas.openxmlformats.org/officeDocument/2006/relationships/theme" Target="theme/theme1.xml"/><Relationship Id="rId10" Type="http://schemas.openxmlformats.org/officeDocument/2006/relationships/hyperlink" Target="http://www.irs.gov/pub/irs-pdf/i1023ez.pdf" TargetMode="External"/><Relationship Id="rId4" Type="http://schemas.openxmlformats.org/officeDocument/2006/relationships/webSettings" Target="webSettings.xml"/><Relationship Id="rId9" Type="http://schemas.openxmlformats.org/officeDocument/2006/relationships/hyperlink" Target="http://www.irs.gov/pub/irs-pdf/f1023ez.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2014-07-14T14:42:00Z</dcterms:created>
  <dcterms:modified xsi:type="dcterms:W3CDTF">2014-07-14T14:44:00Z</dcterms:modified>
</cp:coreProperties>
</file>